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CDB" w:rsidRPr="00B0235C" w:rsidRDefault="00D92CDB" w:rsidP="00D92CDB">
      <w:pPr>
        <w:jc w:val="center"/>
        <w:rPr>
          <w:rFonts w:cs="Arial"/>
          <w:b/>
          <w:sz w:val="48"/>
          <w:szCs w:val="48"/>
        </w:rPr>
      </w:pPr>
      <w:r w:rsidRPr="00B0235C">
        <w:rPr>
          <w:rFonts w:cs="Arial"/>
          <w:b/>
          <w:sz w:val="48"/>
          <w:szCs w:val="48"/>
        </w:rPr>
        <w:t>GOBIERNO DEL ESTADO DE CHIHUAHUA</w:t>
      </w:r>
    </w:p>
    <w:p w:rsidR="00D92CDB" w:rsidRDefault="00D92CDB" w:rsidP="00D92CDB">
      <w:pPr>
        <w:jc w:val="center"/>
        <w:rPr>
          <w:rFonts w:cs="Arial"/>
          <w:b/>
          <w:sz w:val="48"/>
          <w:szCs w:val="48"/>
        </w:rPr>
      </w:pPr>
      <w:r w:rsidRPr="00B0235C">
        <w:rPr>
          <w:rFonts w:cs="Arial"/>
          <w:b/>
          <w:sz w:val="48"/>
          <w:szCs w:val="48"/>
        </w:rPr>
        <w:t>INGRESOS PRESUPUESTARIOS</w:t>
      </w:r>
    </w:p>
    <w:p w:rsidR="00B0235C" w:rsidRPr="00B0235C" w:rsidRDefault="00B0235C" w:rsidP="00D92CDB">
      <w:pPr>
        <w:jc w:val="center"/>
        <w:rPr>
          <w:rFonts w:cs="Arial"/>
          <w:b/>
          <w:sz w:val="48"/>
          <w:szCs w:val="48"/>
        </w:rPr>
      </w:pPr>
    </w:p>
    <w:p w:rsidR="00D92CDB" w:rsidRPr="00B0235C" w:rsidRDefault="00D92CDB" w:rsidP="00D92CDB">
      <w:pPr>
        <w:spacing w:line="360" w:lineRule="auto"/>
        <w:jc w:val="both"/>
        <w:rPr>
          <w:rFonts w:cs="Arial"/>
          <w:sz w:val="32"/>
          <w:szCs w:val="32"/>
        </w:rPr>
      </w:pPr>
      <w:r w:rsidRPr="00B0235C">
        <w:rPr>
          <w:rFonts w:cs="Arial"/>
          <w:sz w:val="32"/>
          <w:szCs w:val="32"/>
        </w:rPr>
        <w:t>Las finanzas públicas en el ejercicio fiscal 2017 estuvieron enmarcadas en un contexto internacional complicado. El Fondo Monetario Internacional y el Banco Mundial registraron una aceleración moderada en el ritmo de crecimiento de la economía mundial en relación a 2016. Respecto a los mercados financieros, se presentaron episodios de alta volatilidad debido a la divergencia de políticas monetarias en las economías avanzadas y al resultado de la elección presidencial de los Estados Unidos.</w:t>
      </w:r>
    </w:p>
    <w:p w:rsidR="00D92CDB" w:rsidRPr="00B0235C" w:rsidRDefault="00D92CDB" w:rsidP="00D92CDB">
      <w:pPr>
        <w:spacing w:line="360" w:lineRule="auto"/>
        <w:jc w:val="both"/>
        <w:rPr>
          <w:rFonts w:cs="Arial"/>
          <w:sz w:val="32"/>
          <w:szCs w:val="32"/>
        </w:rPr>
      </w:pPr>
      <w:r w:rsidRPr="00B0235C">
        <w:rPr>
          <w:rFonts w:cs="Arial"/>
          <w:sz w:val="32"/>
          <w:szCs w:val="32"/>
        </w:rPr>
        <w:t>La política fiscal se presentó con una estrategia macroeconómica y fiscal con el objetivo de disminuir el déficit presupuestario, salvaguardar el crecimiento económico estatal y promoviendo acciones que permitieron darle solidez al sistema hacendario estatal para atenuar los efectos de una menor transferencia de recursos en la parte de Convenios Federales.</w:t>
      </w:r>
    </w:p>
    <w:p w:rsidR="00B0235C" w:rsidRDefault="00B0235C" w:rsidP="00D92CDB">
      <w:pPr>
        <w:spacing w:line="360" w:lineRule="auto"/>
        <w:jc w:val="both"/>
        <w:rPr>
          <w:rFonts w:cs="Arial"/>
          <w:sz w:val="32"/>
          <w:szCs w:val="32"/>
        </w:rPr>
      </w:pPr>
    </w:p>
    <w:p w:rsidR="00B0235C" w:rsidRDefault="00B0235C" w:rsidP="00D92CDB">
      <w:pPr>
        <w:spacing w:line="360" w:lineRule="auto"/>
        <w:jc w:val="both"/>
        <w:rPr>
          <w:rFonts w:cs="Arial"/>
          <w:sz w:val="32"/>
          <w:szCs w:val="32"/>
        </w:rPr>
      </w:pPr>
    </w:p>
    <w:p w:rsidR="00B0235C" w:rsidRDefault="00B0235C" w:rsidP="00D92CDB">
      <w:pPr>
        <w:spacing w:line="360" w:lineRule="auto"/>
        <w:jc w:val="both"/>
        <w:rPr>
          <w:rFonts w:cs="Arial"/>
          <w:sz w:val="32"/>
          <w:szCs w:val="32"/>
        </w:rPr>
      </w:pPr>
    </w:p>
    <w:p w:rsidR="00D92CDB" w:rsidRPr="00B0235C" w:rsidRDefault="00D92CDB" w:rsidP="00D92CDB">
      <w:pPr>
        <w:spacing w:line="360" w:lineRule="auto"/>
        <w:jc w:val="both"/>
        <w:rPr>
          <w:rFonts w:cs="Arial"/>
          <w:sz w:val="32"/>
          <w:szCs w:val="32"/>
        </w:rPr>
      </w:pPr>
      <w:r w:rsidRPr="00B0235C">
        <w:rPr>
          <w:rFonts w:cs="Arial"/>
          <w:sz w:val="32"/>
          <w:szCs w:val="32"/>
        </w:rPr>
        <w:t>La política fiscal en 2017 también se basó en fortalecer los ingresos propios, apoyándose en la eficiencia recaudatoria; un programa más agresivo de fiscalización para fortalecer la presencia fisca; la detección de omisos; ampliación de la base de contribuyentes; programas para aumentar el ingreso por adeudos fiscales e incrementar el uso de medios alternos de pago para generar economías en la recaudación de contribuciones estatales. De igual manera, se buscó fortalecer los ingresos realizando ciertos cambios en la estructura de los incentivos fiscales que se otorgan a los distintos contribuyentes, así como manteniendo algunos de los ya establecidos.</w:t>
      </w:r>
    </w:p>
    <w:p w:rsidR="00D92CDB" w:rsidRPr="00B0235C" w:rsidRDefault="00D92CDB" w:rsidP="00D92CDB">
      <w:pPr>
        <w:spacing w:line="360" w:lineRule="auto"/>
        <w:jc w:val="both"/>
        <w:rPr>
          <w:rFonts w:cs="Arial"/>
          <w:sz w:val="32"/>
          <w:szCs w:val="32"/>
        </w:rPr>
      </w:pPr>
      <w:r w:rsidRPr="00B0235C">
        <w:rPr>
          <w:rFonts w:cs="Arial"/>
          <w:sz w:val="32"/>
          <w:szCs w:val="32"/>
        </w:rPr>
        <w:t>La Ley de Ingresos aprobada para 2017 contempló una recaudación de 58 mil 356.1 millones de pesos, de los cuales el 21 por ciento correspondía a ingresos Propios del Estado.</w:t>
      </w:r>
    </w:p>
    <w:p w:rsidR="00D92CDB" w:rsidRDefault="00D92CDB" w:rsidP="00D92CDB">
      <w:pPr>
        <w:spacing w:line="360" w:lineRule="auto"/>
        <w:jc w:val="both"/>
        <w:rPr>
          <w:rFonts w:cs="Arial"/>
        </w:rPr>
      </w:pPr>
    </w:p>
    <w:p w:rsidR="00D92CDB" w:rsidRPr="00D92CDB" w:rsidRDefault="00D92CDB" w:rsidP="00D92CDB">
      <w:pPr>
        <w:jc w:val="both"/>
        <w:rPr>
          <w:rFonts w:cs="Arial"/>
        </w:rPr>
      </w:pPr>
    </w:p>
    <w:p w:rsidR="00D92CDB" w:rsidRPr="00B0235C" w:rsidRDefault="00D92CDB" w:rsidP="00D92CDB">
      <w:pPr>
        <w:jc w:val="center"/>
        <w:rPr>
          <w:rFonts w:cs="Arial"/>
          <w:b/>
          <w:sz w:val="36"/>
          <w:szCs w:val="36"/>
        </w:rPr>
      </w:pPr>
      <w:r w:rsidRPr="00B0235C">
        <w:rPr>
          <w:rFonts w:cs="Arial"/>
          <w:b/>
          <w:sz w:val="36"/>
          <w:szCs w:val="36"/>
        </w:rPr>
        <w:t>COMPOSICION DE LA LEY DE INGRESOS DEL ESTADO DE CHIHUAHUA 2017</w:t>
      </w:r>
    </w:p>
    <w:p w:rsidR="00D92CDB" w:rsidRPr="00B0235C" w:rsidRDefault="00D92CDB" w:rsidP="00D92CDB">
      <w:pPr>
        <w:jc w:val="center"/>
        <w:rPr>
          <w:rFonts w:cs="Arial"/>
          <w:b/>
          <w:sz w:val="36"/>
          <w:szCs w:val="36"/>
        </w:rPr>
      </w:pPr>
      <w:r w:rsidRPr="00B0235C">
        <w:rPr>
          <w:rFonts w:cs="Arial"/>
          <w:b/>
          <w:sz w:val="36"/>
          <w:szCs w:val="36"/>
        </w:rPr>
        <w:t>(58.4 MMDP)</w:t>
      </w:r>
    </w:p>
    <w:p w:rsidR="00D92CDB" w:rsidRPr="00D92CDB" w:rsidRDefault="00D92CDB" w:rsidP="00D92CDB">
      <w:pPr>
        <w:jc w:val="center"/>
        <w:rPr>
          <w:rFonts w:cs="Arial"/>
        </w:rPr>
      </w:pPr>
    </w:p>
    <w:p w:rsidR="00D92CDB" w:rsidRDefault="00B0235C" w:rsidP="00B0235C">
      <w:pPr>
        <w:jc w:val="center"/>
        <w:rPr>
          <w:rFonts w:cs="Arial"/>
        </w:rPr>
      </w:pPr>
      <w:r w:rsidRPr="00D92CDB">
        <w:rPr>
          <w:rFonts w:cs="Arial"/>
          <w:noProof/>
          <w:lang w:eastAsia="es-MX"/>
        </w:rPr>
        <w:drawing>
          <wp:inline distT="0" distB="0" distL="0" distR="0" wp14:anchorId="010D58F7" wp14:editId="781AA264">
            <wp:extent cx="4560124" cy="3360717"/>
            <wp:effectExtent l="0" t="0" r="12065" b="1143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0235C" w:rsidRPr="00D92CDB" w:rsidRDefault="00B0235C" w:rsidP="00B0235C">
      <w:pPr>
        <w:jc w:val="center"/>
        <w:rPr>
          <w:rFonts w:cs="Arial"/>
        </w:rPr>
      </w:pPr>
    </w:p>
    <w:p w:rsidR="00D92CDB" w:rsidRDefault="00D92CDB" w:rsidP="00D92CDB">
      <w:pPr>
        <w:jc w:val="center"/>
        <w:rPr>
          <w:rFonts w:cs="Arial"/>
          <w:b/>
          <w:sz w:val="36"/>
          <w:szCs w:val="36"/>
        </w:rPr>
      </w:pPr>
      <w:r w:rsidRPr="00B0235C">
        <w:rPr>
          <w:rFonts w:cs="Arial"/>
          <w:b/>
          <w:sz w:val="36"/>
          <w:szCs w:val="36"/>
        </w:rPr>
        <w:lastRenderedPageBreak/>
        <w:t>COMPORTAMIENTO DE LOS INGRESOS EN 2017</w:t>
      </w:r>
    </w:p>
    <w:p w:rsidR="00D92CDB" w:rsidRPr="00B0235C" w:rsidRDefault="00D92CDB" w:rsidP="00D92CDB">
      <w:pPr>
        <w:spacing w:line="360" w:lineRule="auto"/>
        <w:jc w:val="both"/>
        <w:rPr>
          <w:rFonts w:cs="Arial"/>
          <w:sz w:val="32"/>
          <w:szCs w:val="32"/>
        </w:rPr>
      </w:pPr>
      <w:r w:rsidRPr="00B0235C">
        <w:rPr>
          <w:rFonts w:cs="Arial"/>
          <w:sz w:val="32"/>
          <w:szCs w:val="32"/>
        </w:rPr>
        <w:t>En el ejercicio fiscal 2017 el Ingreso total obtenido fue por 58 mil 139.6 millones de pesos, lo que significó una disminución de tan solo un 0.4 por ciento en comparación a lo aprobado en la Ley de ingresos para ese mismo año, destaca dentro de la captación total de dicho ejercicio la parte relacionada a Impuestos Locales con un crecimiento de 501.7 millones de pesos y lo referente a las Participaciones Federales con un incremento de más de 1 mil 600.8 millones con relación a lo estimado.</w:t>
      </w:r>
    </w:p>
    <w:p w:rsidR="00B0235C" w:rsidRDefault="00D92CDB" w:rsidP="00B0235C">
      <w:pPr>
        <w:jc w:val="center"/>
        <w:rPr>
          <w:rFonts w:cs="Arial"/>
        </w:rPr>
      </w:pPr>
      <w:bookmarkStart w:id="0" w:name="_GoBack"/>
      <w:r w:rsidRPr="00D92CDB">
        <w:rPr>
          <w:rFonts w:cs="Arial"/>
          <w:noProof/>
          <w:lang w:eastAsia="es-MX"/>
        </w:rPr>
        <w:drawing>
          <wp:inline distT="0" distB="0" distL="0" distR="0" wp14:anchorId="7A3651F0" wp14:editId="10F252EF">
            <wp:extent cx="4298868" cy="2280063"/>
            <wp:effectExtent l="0" t="0" r="6985" b="635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End w:id="0"/>
    </w:p>
    <w:p w:rsidR="00D92CDB" w:rsidRPr="00D92CDB" w:rsidRDefault="00D92CDB" w:rsidP="00D92CDB">
      <w:pPr>
        <w:jc w:val="center"/>
        <w:rPr>
          <w:rFonts w:cs="Arial"/>
        </w:rPr>
      </w:pPr>
    </w:p>
    <w:p w:rsidR="00D92CDB" w:rsidRPr="00B0235C" w:rsidRDefault="00D92CDB" w:rsidP="00D92CDB">
      <w:pPr>
        <w:jc w:val="center"/>
        <w:rPr>
          <w:rFonts w:cs="Arial"/>
          <w:b/>
          <w:sz w:val="36"/>
          <w:szCs w:val="36"/>
        </w:rPr>
      </w:pPr>
      <w:r w:rsidRPr="00B0235C">
        <w:rPr>
          <w:rFonts w:cs="Arial"/>
          <w:b/>
          <w:sz w:val="36"/>
          <w:szCs w:val="36"/>
        </w:rPr>
        <w:t>COMPARATIVO POR RUBRO DE INGRESOS EN 2017</w:t>
      </w:r>
    </w:p>
    <w:p w:rsidR="00D92CDB" w:rsidRPr="00D92CDB" w:rsidRDefault="00D92CDB" w:rsidP="00D92CDB">
      <w:pPr>
        <w:jc w:val="center"/>
        <w:rPr>
          <w:rFonts w:cs="Arial"/>
        </w:rPr>
      </w:pPr>
      <w:r w:rsidRPr="00D92CDB">
        <w:rPr>
          <w:rFonts w:cs="Arial"/>
          <w:noProof/>
          <w:lang w:eastAsia="es-MX"/>
        </w:rPr>
        <w:drawing>
          <wp:inline distT="0" distB="0" distL="0" distR="0" wp14:anchorId="59948DE8" wp14:editId="3314DCE4">
            <wp:extent cx="6103917" cy="3930733"/>
            <wp:effectExtent l="0" t="0" r="11430" b="1270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3119B" w:rsidRPr="00D92CDB" w:rsidRDefault="0063119B" w:rsidP="00D92CDB"/>
    <w:sectPr w:rsidR="0063119B" w:rsidRPr="00D92CDB" w:rsidSect="0063119B">
      <w:footerReference w:type="default" r:id="rId11"/>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74D" w:rsidRDefault="00C8774D" w:rsidP="0063119B">
      <w:pPr>
        <w:spacing w:after="0" w:line="240" w:lineRule="auto"/>
      </w:pPr>
      <w:r>
        <w:separator/>
      </w:r>
    </w:p>
  </w:endnote>
  <w:endnote w:type="continuationSeparator" w:id="0">
    <w:p w:rsidR="00C8774D" w:rsidRDefault="00C8774D" w:rsidP="00631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19B" w:rsidRDefault="00A05F70">
    <w:pPr>
      <w:pStyle w:val="Piedepgina"/>
    </w:pPr>
    <w:r>
      <w:rPr>
        <w:noProof/>
        <w:lang w:eastAsia="es-MX"/>
      </w:rPr>
      <w:drawing>
        <wp:inline distT="0" distB="0" distL="0" distR="0" wp14:anchorId="0693CB44" wp14:editId="6EE99D8F">
          <wp:extent cx="1130716" cy="1006005"/>
          <wp:effectExtent l="0" t="0" r="0" b="381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h.png"/>
                  <pic:cNvPicPr/>
                </pic:nvPicPr>
                <pic:blipFill>
                  <a:blip r:embed="rId1">
                    <a:extLst>
                      <a:ext uri="{28A0092B-C50C-407E-A947-70E740481C1C}">
                        <a14:useLocalDpi xmlns:a14="http://schemas.microsoft.com/office/drawing/2010/main" val="0"/>
                      </a:ext>
                    </a:extLst>
                  </a:blip>
                  <a:stretch>
                    <a:fillRect/>
                  </a:stretch>
                </pic:blipFill>
                <pic:spPr>
                  <a:xfrm>
                    <a:off x="0" y="0"/>
                    <a:ext cx="1130716" cy="1006005"/>
                  </a:xfrm>
                  <a:prstGeom prst="rect">
                    <a:avLst/>
                  </a:prstGeom>
                </pic:spPr>
              </pic:pic>
            </a:graphicData>
          </a:graphic>
        </wp:inline>
      </w:drawing>
    </w:r>
    <w:r>
      <w:rPr>
        <w:noProof/>
        <w:lang w:eastAsia="es-MX"/>
      </w:rPr>
      <w:t xml:space="preserve">                                                                                                                                                                                       </w:t>
    </w:r>
    <w:r>
      <w:rPr>
        <w:noProof/>
        <w:lang w:eastAsia="es-MX"/>
      </w:rPr>
      <w:drawing>
        <wp:inline distT="0" distB="0" distL="0" distR="0" wp14:anchorId="134E5716" wp14:editId="3F6F9C44">
          <wp:extent cx="1014153" cy="926869"/>
          <wp:effectExtent l="0" t="0" r="0" b="698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h 2.jpg"/>
                  <pic:cNvPicPr/>
                </pic:nvPicPr>
                <pic:blipFill>
                  <a:blip r:embed="rId2">
                    <a:extLst>
                      <a:ext uri="{28A0092B-C50C-407E-A947-70E740481C1C}">
                        <a14:useLocalDpi xmlns:a14="http://schemas.microsoft.com/office/drawing/2010/main" val="0"/>
                      </a:ext>
                    </a:extLst>
                  </a:blip>
                  <a:stretch>
                    <a:fillRect/>
                  </a:stretch>
                </pic:blipFill>
                <pic:spPr>
                  <a:xfrm>
                    <a:off x="0" y="0"/>
                    <a:ext cx="1014153" cy="92686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74D" w:rsidRDefault="00C8774D" w:rsidP="0063119B">
      <w:pPr>
        <w:spacing w:after="0" w:line="240" w:lineRule="auto"/>
      </w:pPr>
      <w:r>
        <w:separator/>
      </w:r>
    </w:p>
  </w:footnote>
  <w:footnote w:type="continuationSeparator" w:id="0">
    <w:p w:rsidR="00C8774D" w:rsidRDefault="00C8774D" w:rsidP="006311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19B"/>
    <w:rsid w:val="00093F9A"/>
    <w:rsid w:val="0063119B"/>
    <w:rsid w:val="008D7670"/>
    <w:rsid w:val="00901E70"/>
    <w:rsid w:val="00971F0C"/>
    <w:rsid w:val="009B45F1"/>
    <w:rsid w:val="00A05F70"/>
    <w:rsid w:val="00B0235C"/>
    <w:rsid w:val="00C8774D"/>
    <w:rsid w:val="00CC126E"/>
    <w:rsid w:val="00D92C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CDB"/>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11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119B"/>
  </w:style>
  <w:style w:type="paragraph" w:styleId="Piedepgina">
    <w:name w:val="footer"/>
    <w:basedOn w:val="Normal"/>
    <w:link w:val="PiedepginaCar"/>
    <w:uiPriority w:val="99"/>
    <w:unhideWhenUsed/>
    <w:rsid w:val="006311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119B"/>
  </w:style>
  <w:style w:type="paragraph" w:styleId="Textodeglobo">
    <w:name w:val="Balloon Text"/>
    <w:basedOn w:val="Normal"/>
    <w:link w:val="TextodegloboCar"/>
    <w:uiPriority w:val="99"/>
    <w:semiHidden/>
    <w:unhideWhenUsed/>
    <w:rsid w:val="00A05F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5F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CDB"/>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11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119B"/>
  </w:style>
  <w:style w:type="paragraph" w:styleId="Piedepgina">
    <w:name w:val="footer"/>
    <w:basedOn w:val="Normal"/>
    <w:link w:val="PiedepginaCar"/>
    <w:uiPriority w:val="99"/>
    <w:unhideWhenUsed/>
    <w:rsid w:val="006311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119B"/>
  </w:style>
  <w:style w:type="paragraph" w:styleId="Textodeglobo">
    <w:name w:val="Balloon Text"/>
    <w:basedOn w:val="Normal"/>
    <w:link w:val="TextodegloboCar"/>
    <w:uiPriority w:val="99"/>
    <w:semiHidden/>
    <w:unhideWhenUsed/>
    <w:rsid w:val="00A05F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5F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localhost\Users\DJC\Documents\DGI\2018\DATOS_CUENTAPUBLICA20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3"/>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MX"/>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MX"/>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s-MX"/>
                </a:p>
              </c:txPr>
              <c:dLblPos val="outEnd"/>
              <c:showLegendKey val="0"/>
              <c:showVal val="0"/>
              <c:showCatName val="1"/>
              <c:showSerName val="0"/>
              <c:showPercent val="1"/>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s-MX"/>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Hoja1!$B$7:$B$10</c:f>
              <c:strCache>
                <c:ptCount val="4"/>
                <c:pt idx="0">
                  <c:v>Ingresos Propios</c:v>
                </c:pt>
                <c:pt idx="1">
                  <c:v>Participaciones</c:v>
                </c:pt>
                <c:pt idx="2">
                  <c:v>Aportaciones</c:v>
                </c:pt>
                <c:pt idx="3">
                  <c:v>Transferencias</c:v>
                </c:pt>
              </c:strCache>
            </c:strRef>
          </c:cat>
          <c:val>
            <c:numRef>
              <c:f>Hoja1!$C$7:$C$10</c:f>
              <c:numCache>
                <c:formatCode>#,##0_ ;[Red]\-#,##0\ </c:formatCode>
                <c:ptCount val="4"/>
                <c:pt idx="0">
                  <c:v>12447495691</c:v>
                </c:pt>
                <c:pt idx="1">
                  <c:v>19886000000</c:v>
                </c:pt>
                <c:pt idx="2">
                  <c:v>19387452755</c:v>
                </c:pt>
                <c:pt idx="3">
                  <c:v>6635131363</c:v>
                </c:pt>
              </c:numCache>
            </c:numRef>
          </c:val>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2"/>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3"/>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4"/>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Hoja1!$B$7:$B$11</c:f>
              <c:strCache>
                <c:ptCount val="5"/>
                <c:pt idx="0">
                  <c:v>Ingresos Propios</c:v>
                </c:pt>
                <c:pt idx="1">
                  <c:v>Participaciones</c:v>
                </c:pt>
                <c:pt idx="2">
                  <c:v>Aportaciones</c:v>
                </c:pt>
                <c:pt idx="3">
                  <c:v>Transferencias</c:v>
                </c:pt>
                <c:pt idx="4">
                  <c:v>Otros Ingresos</c:v>
                </c:pt>
              </c:strCache>
            </c:strRef>
          </c:cat>
          <c:val>
            <c:numRef>
              <c:f>Hoja1!$D$7:$D$11</c:f>
              <c:numCache>
                <c:formatCode>#,##0_ ;[Red]\-#,##0\ </c:formatCode>
                <c:ptCount val="5"/>
                <c:pt idx="0">
                  <c:v>10601449389.48</c:v>
                </c:pt>
                <c:pt idx="1">
                  <c:v>21486862694</c:v>
                </c:pt>
                <c:pt idx="2">
                  <c:v>18979857537.810001</c:v>
                </c:pt>
                <c:pt idx="3">
                  <c:v>6593864603.4099998</c:v>
                </c:pt>
                <c:pt idx="4">
                  <c:v>465731623.99000001</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MX"/>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5039929048149625"/>
          <c:y val="5.9049432900309846E-2"/>
          <c:w val="0.84209166231951005"/>
          <c:h val="0.72133636703764004"/>
        </c:manualLayout>
      </c:layout>
      <c:bar3DChart>
        <c:barDir val="col"/>
        <c:grouping val="standard"/>
        <c:varyColors val="0"/>
        <c:ser>
          <c:idx val="0"/>
          <c:order val="0"/>
          <c:tx>
            <c:strRef>
              <c:f>Hoja1!$C$30</c:f>
              <c:strCache>
                <c:ptCount val="1"/>
                <c:pt idx="0">
                  <c:v>Ley 2017</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Hoja1!$B$31:$B$36</c:f>
              <c:strCache>
                <c:ptCount val="6"/>
                <c:pt idx="0">
                  <c:v>Ingresos Propios</c:v>
                </c:pt>
                <c:pt idx="1">
                  <c:v>Participaciones</c:v>
                </c:pt>
                <c:pt idx="2">
                  <c:v>Aportaciones</c:v>
                </c:pt>
                <c:pt idx="3">
                  <c:v>Transferencias</c:v>
                </c:pt>
                <c:pt idx="4">
                  <c:v>Otros Ingresos</c:v>
                </c:pt>
                <c:pt idx="5">
                  <c:v>Total</c:v>
                </c:pt>
              </c:strCache>
            </c:strRef>
          </c:cat>
          <c:val>
            <c:numRef>
              <c:f>Hoja1!$C$31:$C$36</c:f>
              <c:numCache>
                <c:formatCode>#,##0.0_ ;[Red]\-#,##0.0\ </c:formatCode>
                <c:ptCount val="6"/>
                <c:pt idx="0">
                  <c:v>12447.495691</c:v>
                </c:pt>
                <c:pt idx="1">
                  <c:v>19886</c:v>
                </c:pt>
                <c:pt idx="2">
                  <c:v>19387.452754999998</c:v>
                </c:pt>
                <c:pt idx="3">
                  <c:v>6635.1313629999977</c:v>
                </c:pt>
                <c:pt idx="4">
                  <c:v>0</c:v>
                </c:pt>
                <c:pt idx="5">
                  <c:v>58356.079809000003</c:v>
                </c:pt>
              </c:numCache>
            </c:numRef>
          </c:val>
        </c:ser>
        <c:ser>
          <c:idx val="1"/>
          <c:order val="1"/>
          <c:tx>
            <c:strRef>
              <c:f>Hoja1!$D$30</c:f>
              <c:strCache>
                <c:ptCount val="1"/>
                <c:pt idx="0">
                  <c:v>Ingreso real</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Hoja1!$B$31:$B$36</c:f>
              <c:strCache>
                <c:ptCount val="6"/>
                <c:pt idx="0">
                  <c:v>Ingresos Propios</c:v>
                </c:pt>
                <c:pt idx="1">
                  <c:v>Participaciones</c:v>
                </c:pt>
                <c:pt idx="2">
                  <c:v>Aportaciones</c:v>
                </c:pt>
                <c:pt idx="3">
                  <c:v>Transferencias</c:v>
                </c:pt>
                <c:pt idx="4">
                  <c:v>Otros Ingresos</c:v>
                </c:pt>
                <c:pt idx="5">
                  <c:v>Total</c:v>
                </c:pt>
              </c:strCache>
            </c:strRef>
          </c:cat>
          <c:val>
            <c:numRef>
              <c:f>Hoja1!$D$31:$D$36</c:f>
              <c:numCache>
                <c:formatCode>#,##0.0_ ;[Red]\-#,##0.0\ </c:formatCode>
                <c:ptCount val="6"/>
                <c:pt idx="0">
                  <c:v>10613.240524479999</c:v>
                </c:pt>
                <c:pt idx="1">
                  <c:v>21486.862693999999</c:v>
                </c:pt>
                <c:pt idx="2">
                  <c:v>18979.857537809999</c:v>
                </c:pt>
                <c:pt idx="3">
                  <c:v>6593.8646034100002</c:v>
                </c:pt>
                <c:pt idx="4">
                  <c:v>465.73162398999978</c:v>
                </c:pt>
                <c:pt idx="5">
                  <c:v>58139.556983690003</c:v>
                </c:pt>
              </c:numCache>
            </c:numRef>
          </c:val>
        </c:ser>
        <c:dLbls>
          <c:showLegendKey val="0"/>
          <c:showVal val="0"/>
          <c:showCatName val="0"/>
          <c:showSerName val="0"/>
          <c:showPercent val="0"/>
          <c:showBubbleSize val="0"/>
        </c:dLbls>
        <c:gapWidth val="150"/>
        <c:shape val="box"/>
        <c:axId val="127885696"/>
        <c:axId val="127887232"/>
        <c:axId val="156217344"/>
      </c:bar3DChart>
      <c:catAx>
        <c:axId val="12788569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27887232"/>
        <c:crosses val="autoZero"/>
        <c:auto val="0"/>
        <c:lblAlgn val="ctr"/>
        <c:lblOffset val="100"/>
        <c:noMultiLvlLbl val="0"/>
      </c:catAx>
      <c:valAx>
        <c:axId val="127887232"/>
        <c:scaling>
          <c:orientation val="minMax"/>
        </c:scaling>
        <c:delete val="1"/>
        <c:axPos val="l"/>
        <c:numFmt formatCode="#,##0.0_ ;[Red]\-#,##0.0\ " sourceLinked="1"/>
        <c:majorTickMark val="none"/>
        <c:minorTickMark val="none"/>
        <c:tickLblPos val="nextTo"/>
        <c:crossAx val="127885696"/>
        <c:crosses val="autoZero"/>
        <c:crossBetween val="between"/>
      </c:valAx>
      <c:serAx>
        <c:axId val="156217344"/>
        <c:scaling>
          <c:orientation val="minMax"/>
        </c:scaling>
        <c:delete val="1"/>
        <c:axPos val="b"/>
        <c:majorTickMark val="none"/>
        <c:minorTickMark val="none"/>
        <c:tickLblPos val="nextTo"/>
        <c:crossAx val="127887232"/>
        <c:crosses val="autoZero"/>
      </c:ser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mn-lt"/>
                <a:ea typeface="+mn-ea"/>
                <a:cs typeface="+mn-cs"/>
              </a:defRPr>
            </a:pPr>
            <a:endParaRPr lang="es-MX"/>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207B1-29F8-4B01-AA3B-030A74024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371</Words>
  <Characters>2041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José Navarro Baca</dc:creator>
  <cp:lastModifiedBy>Manuel José Navarro Baca</cp:lastModifiedBy>
  <cp:revision>5</cp:revision>
  <dcterms:created xsi:type="dcterms:W3CDTF">2017-12-21T19:48:00Z</dcterms:created>
  <dcterms:modified xsi:type="dcterms:W3CDTF">2018-02-27T19:31:00Z</dcterms:modified>
</cp:coreProperties>
</file>